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0B67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082E41A6" w14:textId="77777777" w:rsidR="0054548A" w:rsidRDefault="0054548A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54329B">
        <w:rPr>
          <w:rFonts w:ascii="Century Gothic" w:hAnsi="Century Gothic"/>
          <w:b/>
          <w:bCs/>
          <w:sz w:val="24"/>
          <w:szCs w:val="24"/>
        </w:rPr>
        <w:t xml:space="preserve">41670 Master of Business Information and Logistics Management </w:t>
      </w:r>
      <w:r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>
        <w:rPr>
          <w:rFonts w:ascii="Century Gothic" w:hAnsi="Century Gothic"/>
          <w:b/>
          <w:bCs/>
          <w:sz w:val="24"/>
          <w:szCs w:val="24"/>
        </w:rPr>
        <w:t xml:space="preserve">96 point – 2 </w:t>
      </w:r>
      <w:r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</w:p>
    <w:p w14:paraId="1B5EB10D" w14:textId="6F721F78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C3BEB">
        <w:rPr>
          <w:bCs/>
          <w:color w:val="231F20"/>
        </w:rPr>
        <w:t>2</w:t>
      </w:r>
    </w:p>
    <w:p w14:paraId="1ABAF719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11A6367A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3084A93C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6C5D1E23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5B9A4441" w14:textId="77777777" w:rsidTr="003A5399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B5A1F86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B78266E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717FDA2" w14:textId="77777777" w:rsidR="00EB04BA" w:rsidRPr="0074355F" w:rsidRDefault="00EB04BA" w:rsidP="00EB04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ACCT5432</w:t>
            </w:r>
          </w:p>
          <w:p w14:paraId="2E48677C" w14:textId="2E6A06FF" w:rsidR="00EE78D6" w:rsidRPr="00EE78D6" w:rsidRDefault="00EB04BA" w:rsidP="00EB04BA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9684A83" w14:textId="77777777" w:rsidR="003F56B8" w:rsidRPr="0074355F" w:rsidRDefault="003F56B8" w:rsidP="003F56B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ECON5541</w:t>
            </w:r>
          </w:p>
          <w:p w14:paraId="3F84BCAB" w14:textId="20FF4CA6" w:rsidR="008B159E" w:rsidRPr="00EE78D6" w:rsidRDefault="003F56B8" w:rsidP="003F56B8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Economics for Business: Applications &amp;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A058684" w14:textId="77777777" w:rsidR="009650F0" w:rsidRPr="0074355F" w:rsidRDefault="009650F0" w:rsidP="009650F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MGMT5507</w:t>
            </w:r>
          </w:p>
          <w:p w14:paraId="50E5D760" w14:textId="6106447A" w:rsidR="008B159E" w:rsidRPr="008B159E" w:rsidRDefault="009650F0" w:rsidP="009650F0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iCs/>
                <w:sz w:val="20"/>
                <w:szCs w:val="20"/>
              </w:rPr>
              <w:t>Management &amp; Organisations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03DF11FA" w14:textId="77777777" w:rsidR="00164B62" w:rsidRPr="0074355F" w:rsidRDefault="00164B62" w:rsidP="00164B6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BUSN5100 or Option</w:t>
            </w:r>
          </w:p>
          <w:p w14:paraId="1AF246FE" w14:textId="1FC15D5E" w:rsidR="008B159E" w:rsidRPr="008B159E" w:rsidRDefault="00164B62" w:rsidP="00164B6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1"/>
                <w:szCs w:val="28"/>
              </w:rPr>
              <w:t>Applied Professional Business</w:t>
            </w:r>
            <w:r w:rsidRPr="0074355F">
              <w:rPr>
                <w:spacing w:val="-31"/>
                <w:sz w:val="21"/>
                <w:szCs w:val="28"/>
              </w:rPr>
              <w:t xml:space="preserve"> </w:t>
            </w:r>
            <w:r w:rsidRPr="0074355F">
              <w:rPr>
                <w:sz w:val="21"/>
                <w:szCs w:val="28"/>
              </w:rPr>
              <w:t>Communications</w:t>
            </w:r>
          </w:p>
        </w:tc>
      </w:tr>
      <w:tr w:rsidR="003C5DEE" w14:paraId="595C6E5D" w14:textId="77777777" w:rsidTr="00031406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839647A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5CD0879E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5AD756C" w14:textId="77777777" w:rsidR="00B75092" w:rsidRPr="0074355F" w:rsidRDefault="00B75092" w:rsidP="00B750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MGMT5504</w:t>
            </w:r>
          </w:p>
          <w:p w14:paraId="706AF896" w14:textId="6A7E7444" w:rsidR="008B159E" w:rsidRPr="00EE78D6" w:rsidRDefault="00B75092" w:rsidP="00B7509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 xml:space="preserve">Data Analysis &amp; Decision Making       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7196C85" w14:textId="77777777" w:rsidR="002A2D2C" w:rsidRPr="0074355F" w:rsidRDefault="002A2D2C" w:rsidP="002A2D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INMT5504</w:t>
            </w:r>
          </w:p>
          <w:p w14:paraId="00134A3A" w14:textId="35650162" w:rsidR="008B159E" w:rsidRPr="00EE78D6" w:rsidRDefault="002A2D2C" w:rsidP="002A2D2C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Business Process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748B0D2" w14:textId="77777777" w:rsidR="00060C9B" w:rsidRPr="0074355F" w:rsidRDefault="00060C9B" w:rsidP="00060C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INMT5518</w:t>
            </w:r>
          </w:p>
          <w:p w14:paraId="1FA63022" w14:textId="7AB43EAE" w:rsidR="008B159E" w:rsidRPr="00EE78D6" w:rsidRDefault="00060C9B" w:rsidP="00060C9B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Supply Chain Analytics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7154B2CE" w14:textId="6437B7C3" w:rsidR="008B159E" w:rsidRPr="008B159E" w:rsidRDefault="003E3764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Option</w:t>
            </w:r>
          </w:p>
        </w:tc>
      </w:tr>
      <w:tr w:rsidR="003C5DEE" w14:paraId="4781E3BA" w14:textId="77777777" w:rsidTr="00031406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4A02C46B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7362685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172291F" w14:textId="77777777" w:rsidR="003E1AEB" w:rsidRPr="0074355F" w:rsidRDefault="003E1AEB" w:rsidP="003E1AE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INMT5501</w:t>
            </w:r>
          </w:p>
          <w:p w14:paraId="31E406B4" w14:textId="73A06FC9" w:rsidR="008B159E" w:rsidRPr="00EE78D6" w:rsidRDefault="003E1AEB" w:rsidP="003E1AEB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Enterprise Information Systems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DECA067" w14:textId="77777777" w:rsidR="00AF6B57" w:rsidRPr="0074355F" w:rsidRDefault="00AF6B57" w:rsidP="00AF6B5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INMT5503</w:t>
            </w:r>
          </w:p>
          <w:p w14:paraId="5EF19624" w14:textId="29D272ED" w:rsidR="008B159E" w:rsidRPr="008B159E" w:rsidRDefault="00AF6B57" w:rsidP="00AF6B5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Logistics &amp; Supply Chain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33E57A6" w14:textId="77777777" w:rsidR="00A27967" w:rsidRPr="0074355F" w:rsidRDefault="00A27967" w:rsidP="00A2796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INMT5620</w:t>
            </w:r>
          </w:p>
          <w:p w14:paraId="7937809B" w14:textId="69B577D5" w:rsidR="003C5DEE" w:rsidRPr="00EE78D6" w:rsidRDefault="00A27967" w:rsidP="00A2796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 xml:space="preserve">Management of Information Systems for Digital Transformation  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vAlign w:val="center"/>
          </w:tcPr>
          <w:p w14:paraId="35EEA549" w14:textId="77777777" w:rsidR="007348C8" w:rsidRPr="0074355F" w:rsidRDefault="007348C8" w:rsidP="007348C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INMT5526</w:t>
            </w:r>
          </w:p>
          <w:p w14:paraId="7E10044C" w14:textId="1F47A0E9" w:rsidR="003C5DEE" w:rsidRPr="00EE78D6" w:rsidRDefault="007348C8" w:rsidP="007348C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Business Intelligence</w:t>
            </w:r>
          </w:p>
        </w:tc>
      </w:tr>
      <w:tr w:rsidR="00262E52" w14:paraId="52AC169C" w14:textId="77777777" w:rsidTr="00031406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D0A23D2" w14:textId="21F620BE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</w:t>
            </w:r>
            <w:r w:rsidR="00346304">
              <w:rPr>
                <w:b/>
                <w:color w:val="231F20"/>
                <w:w w:val="105"/>
                <w:sz w:val="14"/>
                <w:szCs w:val="14"/>
              </w:rPr>
              <w:t>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90D138A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BE93DF6" w14:textId="77777777" w:rsidR="00427E53" w:rsidRPr="0074355F" w:rsidRDefault="00427E53" w:rsidP="00427E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MGMT5660</w:t>
            </w:r>
          </w:p>
          <w:p w14:paraId="45A89396" w14:textId="7DFACFA5" w:rsidR="00262E52" w:rsidRPr="00765432" w:rsidRDefault="00427E53" w:rsidP="00427E5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Applied Project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D928BB5" w14:textId="77777777" w:rsidR="00D60DB0" w:rsidRPr="0074355F" w:rsidRDefault="00D60DB0" w:rsidP="00D60D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BUSN5101</w:t>
            </w:r>
          </w:p>
          <w:p w14:paraId="0899F9EF" w14:textId="5A06767F" w:rsidR="00262E52" w:rsidRPr="00765432" w:rsidRDefault="00D60DB0" w:rsidP="00D60DB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Programming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ECCB272" w14:textId="77777777" w:rsidR="00654841" w:rsidRPr="0074355F" w:rsidRDefault="00654841" w:rsidP="006548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INMT5507</w:t>
            </w:r>
          </w:p>
          <w:p w14:paraId="63F2D1AD" w14:textId="2DE67A16" w:rsidR="00262E52" w:rsidRPr="00765432" w:rsidRDefault="00654841" w:rsidP="00654841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74355F">
              <w:rPr>
                <w:sz w:val="20"/>
                <w:szCs w:val="20"/>
              </w:rPr>
              <w:t>Information Management &amp; Logistics Capstone Projects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6B73C07B" w14:textId="59BAC852" w:rsidR="00262E52" w:rsidRPr="00765432" w:rsidRDefault="007A05B3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74355F">
              <w:rPr>
                <w:b/>
                <w:sz w:val="20"/>
                <w:szCs w:val="20"/>
              </w:rPr>
              <w:t>Option</w:t>
            </w:r>
          </w:p>
        </w:tc>
      </w:tr>
    </w:tbl>
    <w:p w14:paraId="2EEC361D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36E4CF67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02F5663B" w14:textId="77777777" w:rsidR="00367CDF" w:rsidRP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F67454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1B5FA7AC" w14:textId="77777777" w:rsid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3FB03AD8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1639F5F3" w14:textId="168478F0" w:rsidR="004A2AFA" w:rsidRPr="004A2AFA" w:rsidRDefault="004A2AFA" w:rsidP="004A2AFA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BUSN5100 is required for students who have not completed ATAR English or equivalent </w:t>
      </w:r>
    </w:p>
    <w:p w14:paraId="66CE3447" w14:textId="18126F06" w:rsidR="00637FA5" w:rsidRPr="005075D0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14:paraId="0FB87065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="0089117F" w:rsidRPr="00964A20">
        <w:rPr>
          <w:sz w:val="18"/>
          <w:szCs w:val="18"/>
        </w:rPr>
        <w:t>ACCT5633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89117F" w:rsidRPr="00964A20">
        <w:rPr>
          <w:sz w:val="18"/>
          <w:szCs w:val="18"/>
        </w:rPr>
        <w:t>ACCT5432</w:t>
      </w:r>
      <w:r w:rsidR="00E43E9B" w:rsidRPr="00964A20">
        <w:rPr>
          <w:sz w:val="18"/>
          <w:szCs w:val="18"/>
        </w:rPr>
        <w:t>.</w:t>
      </w:r>
    </w:p>
    <w:p w14:paraId="31BC9C0C" w14:textId="77777777" w:rsidR="00673483" w:rsidRDefault="00673483" w:rsidP="00673483">
      <w:pPr>
        <w:rPr>
          <w:sz w:val="16"/>
          <w:szCs w:val="16"/>
        </w:rPr>
      </w:pPr>
    </w:p>
    <w:p w14:paraId="2BBB4B88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4B4D6BB5" w14:textId="77777777" w:rsidR="0089117F" w:rsidRPr="00964A20" w:rsidRDefault="00746B89" w:rsidP="00964A20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p w14:paraId="4629E88B" w14:textId="399E5485" w:rsidR="008C6531" w:rsidRPr="00DA16F6" w:rsidRDefault="008C6531" w:rsidP="001D1FB6">
      <w:pPr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A7BF" w14:textId="77777777" w:rsidR="001D1FB6" w:rsidRDefault="001D1FB6">
      <w:r>
        <w:separator/>
      </w:r>
    </w:p>
  </w:endnote>
  <w:endnote w:type="continuationSeparator" w:id="0">
    <w:p w14:paraId="12340BE2" w14:textId="77777777" w:rsidR="001D1FB6" w:rsidRDefault="001D1FB6">
      <w:r>
        <w:continuationSeparator/>
      </w:r>
    </w:p>
  </w:endnote>
  <w:endnote w:type="continuationNotice" w:id="1">
    <w:p w14:paraId="505B91C4" w14:textId="77777777" w:rsidR="001D1FB6" w:rsidRDefault="001D1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C9B4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21BFE3EC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59978D01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D964" w14:textId="77777777" w:rsidR="001D1FB6" w:rsidRDefault="001D1FB6">
      <w:r>
        <w:separator/>
      </w:r>
    </w:p>
  </w:footnote>
  <w:footnote w:type="continuationSeparator" w:id="0">
    <w:p w14:paraId="77E0970E" w14:textId="77777777" w:rsidR="001D1FB6" w:rsidRDefault="001D1FB6">
      <w:r>
        <w:continuationSeparator/>
      </w:r>
    </w:p>
  </w:footnote>
  <w:footnote w:type="continuationNotice" w:id="1">
    <w:p w14:paraId="440D58C9" w14:textId="77777777" w:rsidR="001D1FB6" w:rsidRDefault="001D1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0AD8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82321A2" wp14:editId="16CE146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4076F5C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321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54076F5C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F17101" wp14:editId="1B893F68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867A60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B523EFC" wp14:editId="1D475152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B50D5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6BA8BCB7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23EFC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308B50D5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6BA8BCB7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406"/>
    <w:rsid w:val="0003157E"/>
    <w:rsid w:val="00031CB3"/>
    <w:rsid w:val="00032FDF"/>
    <w:rsid w:val="00035134"/>
    <w:rsid w:val="0003639F"/>
    <w:rsid w:val="00036C53"/>
    <w:rsid w:val="00037EF9"/>
    <w:rsid w:val="000400C7"/>
    <w:rsid w:val="0004348A"/>
    <w:rsid w:val="000443AD"/>
    <w:rsid w:val="00047BD1"/>
    <w:rsid w:val="00057BF2"/>
    <w:rsid w:val="000600A2"/>
    <w:rsid w:val="00060C9B"/>
    <w:rsid w:val="000620AA"/>
    <w:rsid w:val="00064F9C"/>
    <w:rsid w:val="000713F7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4B62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1FB6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02D7"/>
    <w:rsid w:val="002841E6"/>
    <w:rsid w:val="00284E2F"/>
    <w:rsid w:val="00292E61"/>
    <w:rsid w:val="00294DBE"/>
    <w:rsid w:val="00296001"/>
    <w:rsid w:val="002A13C0"/>
    <w:rsid w:val="002A2D2C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4F6"/>
    <w:rsid w:val="00344A6E"/>
    <w:rsid w:val="003457B6"/>
    <w:rsid w:val="00346304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5399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4FA0"/>
    <w:rsid w:val="003D6CFB"/>
    <w:rsid w:val="003E1AEB"/>
    <w:rsid w:val="003E3764"/>
    <w:rsid w:val="003E74BF"/>
    <w:rsid w:val="003E7829"/>
    <w:rsid w:val="003F0B5D"/>
    <w:rsid w:val="003F5635"/>
    <w:rsid w:val="003F56B8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27E53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2AFA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548A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26C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54841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8C8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6FBA"/>
    <w:rsid w:val="007A05B3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2C5C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50F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657D"/>
    <w:rsid w:val="00A27967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6B57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75092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0DB0"/>
    <w:rsid w:val="00D631B7"/>
    <w:rsid w:val="00D63A75"/>
    <w:rsid w:val="00D63DEC"/>
    <w:rsid w:val="00D63FFC"/>
    <w:rsid w:val="00D642C4"/>
    <w:rsid w:val="00D7045A"/>
    <w:rsid w:val="00D70DAE"/>
    <w:rsid w:val="00D72291"/>
    <w:rsid w:val="00D80025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04B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739A5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E3867-21D3-4C24-BC63-532E36C64D24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aacef4b-15e4-400e-a38b-fd62a8cac48a"/>
    <ds:schemaRef ds:uri="1a2be4b7-5498-4157-9911-ddd69cf2a7a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2025-07-01T06:16:00Z</dcterms:created>
  <dcterms:modified xsi:type="dcterms:W3CDTF">2025-07-01T06:16:00Z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